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2561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3b53f0ed-c20d-4a20-b9d2-7132402a1840" w:id="2"/>
      <w:r>
        <w:rPr>
          <w:rFonts w:ascii="Times New Roman" w:hAnsi="Times New Roman"/>
          <w:b/>
          <w:i w:val="false"/>
          <w:color w:val="000000"/>
          <w:sz w:val="28"/>
        </w:rPr>
        <w:t>Управление образования администрации</w:t>
      </w:r>
      <w:bookmarkEnd w:id="2"/>
      <w:r>
        <w:rPr>
          <w:sz w:val="28"/>
        </w:rPr>
        <w:br/>
      </w:r>
      <w:bookmarkStart w:name="3b53f0ed-c20d-4a20-b9d2-7132402a1840" w:id="3"/>
      <w:r>
        <w:rPr>
          <w:rFonts w:ascii="Times New Roman" w:hAnsi="Times New Roman"/>
          <w:b/>
          <w:i w:val="false"/>
          <w:color w:val="000000"/>
          <w:sz w:val="28"/>
        </w:rPr>
        <w:t xml:space="preserve"> Артёмовского городского округа</w:t>
      </w:r>
      <w:bookmarkEnd w:id="3"/>
    </w:p>
    <w:p>
      <w:pPr>
        <w:spacing w:before="0" w:after="0" w:line="408"/>
        <w:ind w:left="120"/>
        <w:jc w:val="center"/>
      </w:pPr>
      <w:r>
        <w:rPr>
          <w:rFonts w:ascii="Times New Roman" w:hAnsi="Times New Roman"/>
          <w:b/>
          <w:i w:val="false"/>
          <w:color w:val="000000"/>
          <w:sz w:val="28"/>
        </w:rPr>
        <w:t>МБОУ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заседании↵методического↵объединения МО↵учителей математики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заседании↵педагогического совета↵МБОУ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 Михайловская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2705055)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4"/>
      <w:r>
        <w:rPr>
          <w:rFonts w:ascii="Times New Roman" w:hAnsi="Times New Roman"/>
          <w:b/>
          <w:i w:val="false"/>
          <w:color w:val="000000"/>
          <w:sz w:val="28"/>
        </w:rPr>
        <w:t>г. Артем</w:t>
      </w:r>
      <w:bookmarkEnd w:id="4"/>
      <w:r>
        <w:rPr>
          <w:rFonts w:ascii="Times New Roman" w:hAnsi="Times New Roman"/>
          <w:b/>
          <w:i w:val="false"/>
          <w:color w:val="000000"/>
          <w:sz w:val="28"/>
        </w:rPr>
        <w:t xml:space="preserve"> </w:t>
      </w:r>
      <w:bookmarkStart w:name="10593221-ff68-4b8d-87f6-6d526c3afc0d" w:id="5"/>
      <w:r>
        <w:rPr>
          <w:rFonts w:ascii="Times New Roman" w:hAnsi="Times New Roman"/>
          <w:b/>
          <w:i w:val="false"/>
          <w:color w:val="000000"/>
          <w:sz w:val="28"/>
        </w:rPr>
        <w:t>2023г.</w:t>
      </w:r>
      <w:bookmarkEnd w:id="5"/>
    </w:p>
    <w:p>
      <w:pPr>
        <w:spacing w:before="0" w:after="0"/>
        <w:ind w:left="120"/>
        <w:jc w:val="left"/>
      </w:pPr>
    </w:p>
    <w:bookmarkStart w:name="block-20256160" w:id="6"/>
    <w:p>
      <w:pPr>
        <w:sectPr>
          <w:pgSz w:w="11906" w:h="16383" w:orient="portrait"/>
        </w:sectPr>
      </w:pPr>
    </w:p>
    <w:bookmarkEnd w:id="6"/>
    <w:bookmarkEnd w:id="0"/>
    <w:bookmarkStart w:name="block-20256161"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8"/>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8"/>
    </w:p>
    <w:bookmarkStart w:name="block-20256161" w:id="9"/>
    <w:p>
      <w:pPr>
        <w:sectPr>
          <w:pgSz w:w="11906" w:h="16383" w:orient="portrait"/>
        </w:sectPr>
      </w:pPr>
    </w:p>
    <w:bookmarkEnd w:id="9"/>
    <w:bookmarkEnd w:id="7"/>
    <w:bookmarkStart w:name="block-20256162" w:id="10"/>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20256162" w:id="11"/>
    <w:p>
      <w:pPr>
        <w:sectPr>
          <w:pgSz w:w="11906" w:h="16383" w:orient="portrait"/>
        </w:sectPr>
      </w:pPr>
    </w:p>
    <w:bookmarkEnd w:id="11"/>
    <w:bookmarkEnd w:id="10"/>
    <w:bookmarkStart w:name="block-20256165" w:id="12"/>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20256165" w:id="13"/>
    <w:p>
      <w:pPr>
        <w:sectPr>
          <w:pgSz w:w="11906" w:h="16383" w:orient="portrait"/>
        </w:sectPr>
      </w:pPr>
    </w:p>
    <w:bookmarkEnd w:id="13"/>
    <w:bookmarkEnd w:id="12"/>
    <w:bookmarkStart w:name="block-20256163"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78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0256163" w:id="15"/>
    <w:p>
      <w:pPr>
        <w:sectPr>
          <w:pgSz w:w="16383" w:h="11906" w:orient="landscape"/>
        </w:sectPr>
      </w:pPr>
    </w:p>
    <w:bookmarkEnd w:id="15"/>
    <w:bookmarkEnd w:id="14"/>
    <w:bookmarkStart w:name="block-2025616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9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256164" w:id="17"/>
    <w:p>
      <w:pPr>
        <w:sectPr>
          <w:pgSz w:w="16383" w:h="11906" w:orient="landscape"/>
        </w:sectPr>
      </w:pPr>
    </w:p>
    <w:bookmarkEnd w:id="17"/>
    <w:bookmarkEnd w:id="16"/>
    <w:bookmarkStart w:name="block-2025616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50f9078f-1df6-4566-b778-1981a9b15604" w:id="19"/>
      <w:r>
        <w:rPr>
          <w:rFonts w:ascii="Times New Roman" w:hAnsi="Times New Roman"/>
          <w:b w:val="false"/>
          <w:i w:val="false"/>
          <w:color w:val="000000"/>
          <w:sz w:val="28"/>
        </w:rPr>
        <w:t>• Математика. Алгебра и начала математического анализа, 10 класс/ Мерзляк А.Г., Номировский Д.А., Поляков В.М.; под редакцией Подольского B.E., Общество с ограниченной ответственностью Издательский центр «ВЕНТАНА-ГРАФ»; Акционерное общество «Издательство «Просвещение»</w:t>
      </w:r>
      <w:bookmarkEnd w:id="19"/>
      <w:r>
        <w:rPr>
          <w:sz w:val="28"/>
        </w:rPr>
        <w:br/>
      </w:r>
      <w:bookmarkStart w:name="50f9078f-1df6-4566-b778-1981a9b15604" w:id="20"/>
      <w:r>
        <w:rPr>
          <w:rFonts w:ascii="Times New Roman" w:hAnsi="Times New Roman"/>
          <w:b w:val="false"/>
          <w:i w:val="false"/>
          <w:color w:val="000000"/>
          <w:sz w:val="28"/>
        </w:rPr>
        <w:t xml:space="preserve"> • Математика. Алгебра и начала математического анализа,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019da24-adf5-4c55-8faf-7d417badf439" w:id="21"/>
      <w:r>
        <w:rPr>
          <w:rFonts w:ascii="Times New Roman" w:hAnsi="Times New Roman"/>
          <w:b w:val="false"/>
          <w:i w:val="false"/>
          <w:color w:val="000000"/>
          <w:sz w:val="28"/>
        </w:rPr>
        <w:t>Математика. Алгебра и начала математического анализа, геометрия 10 класс/ Мерзляк А.Г., Номировский Д.А., Поляков В.М.; под редакцией Подольского B.E., Общество с ограниченной ответственностью Издательский центр «ВЕНТАНА-ГРАФ»; Акционерное общество «Издательство «Просвещение»</w:t>
      </w:r>
      <w:bookmarkEnd w:id="21"/>
      <w:r>
        <w:rPr>
          <w:sz w:val="28"/>
        </w:rPr>
        <w:br/>
      </w:r>
      <w:bookmarkStart w:name="b019da24-adf5-4c55-8faf-7d417badf439" w:id="22"/>
      <w:r>
        <w:rPr>
          <w:rFonts w:ascii="Times New Roman" w:hAnsi="Times New Roman"/>
          <w:b w:val="false"/>
          <w:i w:val="false"/>
          <w:color w:val="000000"/>
          <w:sz w:val="28"/>
        </w:rPr>
        <w:t xml:space="preserve"> Методическое пособие - Математика. Алгебра и начала математического анализа, геометрия 10 класс/ Мерзляк А.Г., Номировский Д.А., Поляков В.М.; под редакцией Подольского B.E., Общество с ограниченной ответственностью Издательский центр «ВЕНТАНА-ГРАФ»; Акционерное общество «Издательство «Просвещение»</w:t>
      </w:r>
      <w:bookmarkEnd w:id="22"/>
      <w:r>
        <w:rPr>
          <w:sz w:val="28"/>
        </w:rPr>
        <w:br/>
      </w:r>
      <w:bookmarkStart w:name="b019da24-adf5-4c55-8faf-7d417badf439" w:id="23"/>
      <w:r>
        <w:rPr>
          <w:rFonts w:ascii="Times New Roman" w:hAnsi="Times New Roman"/>
          <w:b w:val="false"/>
          <w:i w:val="false"/>
          <w:color w:val="000000"/>
          <w:sz w:val="28"/>
        </w:rPr>
        <w:t xml:space="preserve"> Математика. Алгебра и начала математического анализа, геометрия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3"/>
      <w:r>
        <w:rPr>
          <w:sz w:val="28"/>
        </w:rPr>
        <w:br/>
      </w:r>
      <w:bookmarkStart w:name="b019da24-adf5-4c55-8faf-7d417badf439" w:id="24"/>
      <w:r>
        <w:rPr>
          <w:rFonts w:ascii="Times New Roman" w:hAnsi="Times New Roman"/>
          <w:b w:val="false"/>
          <w:i w:val="false"/>
          <w:color w:val="000000"/>
          <w:sz w:val="28"/>
        </w:rPr>
        <w:t xml:space="preserve"> Методическое пособие - Математика. Алгебра и начала математического анализа, геометрия 11 класс/ Мерзляк А.Г., Номировский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1717e9d-8c8d-4f48-9743-7fb49929d318" w:id="25"/>
      <w:r>
        <w:rPr>
          <w:rFonts w:ascii="Times New Roman" w:hAnsi="Times New Roman"/>
          <w:b w:val="false"/>
          <w:i w:val="false"/>
          <w:color w:val="000000"/>
          <w:sz w:val="28"/>
        </w:rPr>
        <w:t>"Российская электронная школа"/ URL: https://resh.edu.ru</w:t>
      </w:r>
      <w:bookmarkEnd w:id="25"/>
      <w:r>
        <w:rPr>
          <w:sz w:val="28"/>
        </w:rPr>
        <w:br/>
      </w:r>
      <w:bookmarkStart w:name="51717e9d-8c8d-4f48-9743-7fb49929d318" w:id="26"/>
      <w:r>
        <w:rPr>
          <w:rFonts w:ascii="Times New Roman" w:hAnsi="Times New Roman"/>
          <w:b w:val="false"/>
          <w:i w:val="false"/>
          <w:color w:val="000000"/>
          <w:sz w:val="28"/>
        </w:rPr>
        <w:t xml:space="preserve"> "Skysmart класс"/ URL: https://edu.skysmart.ru</w:t>
      </w:r>
      <w:bookmarkEnd w:id="26"/>
      <w:r>
        <w:rPr>
          <w:sz w:val="28"/>
        </w:rPr>
        <w:br/>
      </w:r>
      <w:bookmarkStart w:name="51717e9d-8c8d-4f48-9743-7fb49929d318" w:id="27"/>
      <w:r>
        <w:rPr>
          <w:rFonts w:ascii="Times New Roman" w:hAnsi="Times New Roman"/>
          <w:b w:val="false"/>
          <w:i w:val="false"/>
          <w:color w:val="000000"/>
          <w:sz w:val="28"/>
        </w:rPr>
        <w:t xml:space="preserve"> "Инфоурок" / URL: https://infourok.ru</w:t>
      </w:r>
      <w:bookmarkEnd w:id="27"/>
    </w:p>
    <w:bookmarkStart w:name="block-20256166" w:id="28"/>
    <w:p>
      <w:pPr>
        <w:sectPr>
          <w:pgSz w:w="11906" w:h="16383" w:orient="portrait"/>
        </w:sectPr>
      </w:pPr>
    </w:p>
    <w:bookmarkEnd w:id="28"/>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